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79A289C0" w:rsidR="00F66048"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75369F">
        <w:rPr>
          <w:rFonts w:ascii="Arial" w:eastAsia="바탕" w:hAnsi="Arial" w:cs="Arial"/>
          <w:b/>
          <w:bCs/>
          <w:sz w:val="24"/>
          <w:szCs w:val="24"/>
        </w:rPr>
        <w:t>3GPP TSG RAN WG1 Meeting #</w:t>
      </w:r>
      <w:r w:rsidR="00695630" w:rsidRPr="00AB07B5">
        <w:rPr>
          <w:rFonts w:ascii="Arial" w:eastAsia="바탕" w:hAnsi="Arial" w:cs="Arial"/>
          <w:b/>
          <w:bCs/>
          <w:sz w:val="24"/>
          <w:szCs w:val="24"/>
        </w:rPr>
        <w:t>10</w:t>
      </w:r>
      <w:r w:rsidR="00695630">
        <w:rPr>
          <w:rFonts w:ascii="Arial" w:eastAsia="바탕" w:hAnsi="Arial" w:cs="Arial"/>
          <w:b/>
          <w:bCs/>
          <w:sz w:val="24"/>
          <w:szCs w:val="24"/>
        </w:rPr>
        <w:t>9</w:t>
      </w:r>
      <w:r w:rsidR="009040C8" w:rsidRPr="00AB07B5">
        <w:rPr>
          <w:rFonts w:ascii="Arial" w:eastAsia="바탕" w:hAnsi="Arial" w:cs="Arial"/>
          <w:b/>
          <w:bCs/>
          <w:sz w:val="24"/>
          <w:szCs w:val="24"/>
        </w:rPr>
        <w:t>-e</w:t>
      </w:r>
      <w:r w:rsidR="007D6E6B" w:rsidRPr="00AB07B5">
        <w:rPr>
          <w:rFonts w:ascii="Arial" w:eastAsia="바탕" w:hAnsi="Arial" w:cs="Arial"/>
          <w:b/>
          <w:bCs/>
          <w:sz w:val="24"/>
          <w:szCs w:val="24"/>
        </w:rPr>
        <w:tab/>
      </w:r>
      <w:r w:rsidR="00193D3E" w:rsidRPr="0075369F">
        <w:rPr>
          <w:rFonts w:ascii="Arial" w:eastAsia="바탕" w:hAnsi="Arial" w:cs="Arial"/>
          <w:b/>
          <w:bCs/>
          <w:sz w:val="24"/>
          <w:szCs w:val="24"/>
        </w:rPr>
        <w:tab/>
      </w:r>
      <w:r w:rsidR="00F05A81" w:rsidRPr="0075369F">
        <w:rPr>
          <w:rFonts w:ascii="Arial" w:eastAsia="바탕" w:hAnsi="Arial" w:cs="Arial"/>
          <w:b/>
          <w:bCs/>
          <w:sz w:val="24"/>
          <w:szCs w:val="24"/>
        </w:rPr>
        <w:tab/>
      </w:r>
      <w:r w:rsidR="00B04CE0">
        <w:rPr>
          <w:rFonts w:ascii="Arial" w:hAnsi="Arial" w:cs="Arial"/>
          <w:b/>
          <w:bCs/>
          <w:sz w:val="24"/>
          <w:szCs w:val="24"/>
          <w:lang w:eastAsia="ja-JP"/>
        </w:rPr>
        <w:t>R1-2204634</w:t>
      </w:r>
    </w:p>
    <w:p w14:paraId="3F60A4A0" w14:textId="16EB3AF3" w:rsidR="007E2296"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75369F">
        <w:rPr>
          <w:rFonts w:ascii="Arial" w:hAnsi="Arial" w:cs="Arial"/>
          <w:b/>
          <w:bCs/>
          <w:sz w:val="24"/>
          <w:szCs w:val="24"/>
          <w:lang w:eastAsia="ja-JP"/>
        </w:rPr>
        <w:t>e-</w:t>
      </w:r>
      <w:r w:rsidR="009040C8" w:rsidRPr="0075369F">
        <w:rPr>
          <w:rFonts w:ascii="Arial" w:hAnsi="Arial" w:cs="Arial"/>
          <w:b/>
          <w:bCs/>
          <w:sz w:val="24"/>
          <w:szCs w:val="24"/>
          <w:lang w:eastAsia="ja-JP"/>
        </w:rPr>
        <w:t>M</w:t>
      </w:r>
      <w:r w:rsidRPr="0075369F">
        <w:rPr>
          <w:rFonts w:ascii="Arial" w:hAnsi="Arial" w:cs="Arial"/>
          <w:b/>
          <w:bCs/>
          <w:sz w:val="24"/>
          <w:szCs w:val="24"/>
          <w:lang w:eastAsia="ja-JP"/>
        </w:rPr>
        <w:t>eeting</w:t>
      </w:r>
      <w:r w:rsidR="007E2296" w:rsidRPr="0075369F">
        <w:rPr>
          <w:rFonts w:ascii="Arial" w:hAnsi="Arial" w:cs="Arial"/>
          <w:b/>
          <w:bCs/>
          <w:sz w:val="24"/>
          <w:szCs w:val="24"/>
          <w:lang w:eastAsia="ja-JP"/>
        </w:rPr>
        <w:t>,</w:t>
      </w:r>
      <w:r w:rsidR="007E2296" w:rsidRPr="00CC0BB8">
        <w:rPr>
          <w:rFonts w:ascii="Arial" w:hAnsi="Arial" w:cs="Arial"/>
          <w:b/>
          <w:bCs/>
          <w:sz w:val="22"/>
          <w:szCs w:val="24"/>
          <w:lang w:eastAsia="ja-JP"/>
        </w:rPr>
        <w:t xml:space="preserve"> </w:t>
      </w:r>
      <w:r w:rsidR="00695630" w:rsidRPr="00CC0BB8">
        <w:rPr>
          <w:rFonts w:ascii="Arial" w:hAnsi="Arial" w:cs="Arial"/>
          <w:b/>
          <w:bCs/>
          <w:sz w:val="24"/>
          <w:lang w:eastAsia="ja-JP"/>
        </w:rPr>
        <w:t>May 9</w:t>
      </w:r>
      <w:r w:rsidR="00695630" w:rsidRPr="00CC0BB8">
        <w:rPr>
          <w:rFonts w:ascii="Arial" w:hAnsi="Arial" w:cs="Arial"/>
          <w:b/>
          <w:bCs/>
          <w:sz w:val="24"/>
          <w:vertAlign w:val="superscript"/>
          <w:lang w:eastAsia="ja-JP"/>
        </w:rPr>
        <w:t>th</w:t>
      </w:r>
      <w:r w:rsidR="00695630" w:rsidRPr="00CC0BB8">
        <w:rPr>
          <w:rFonts w:ascii="Arial" w:hAnsi="Arial" w:cs="Arial"/>
          <w:b/>
          <w:bCs/>
          <w:sz w:val="24"/>
          <w:lang w:eastAsia="ja-JP"/>
        </w:rPr>
        <w:t xml:space="preserve"> – 20</w:t>
      </w:r>
      <w:r w:rsidR="00695630" w:rsidRPr="00CC0BB8">
        <w:rPr>
          <w:rFonts w:ascii="Arial" w:hAnsi="Arial" w:cs="Arial"/>
          <w:b/>
          <w:bCs/>
          <w:sz w:val="24"/>
          <w:vertAlign w:val="superscript"/>
          <w:lang w:eastAsia="ja-JP"/>
        </w:rPr>
        <w:t>th</w:t>
      </w:r>
      <w:r w:rsidR="00695630" w:rsidRPr="00CC0BB8">
        <w:rPr>
          <w:rFonts w:ascii="Arial" w:hAnsi="Arial" w:cs="Arial"/>
          <w:b/>
          <w:bCs/>
          <w:sz w:val="24"/>
          <w:lang w:eastAsia="ja-JP"/>
        </w:rPr>
        <w:t>, 2022</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13A7F2D8"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DE502F">
        <w:rPr>
          <w:rFonts w:ascii="Arial" w:hAnsi="Arial"/>
          <w:sz w:val="24"/>
          <w:lang w:val="en-US"/>
        </w:rPr>
        <w:t>9</w:t>
      </w:r>
      <w:r w:rsidR="000A2C7C" w:rsidRPr="000A2C7C">
        <w:rPr>
          <w:rFonts w:ascii="Arial" w:hAnsi="Arial"/>
          <w:sz w:val="24"/>
          <w:lang w:val="en-US"/>
        </w:rPr>
        <w:t>.</w:t>
      </w:r>
      <w:r w:rsidR="00DE502F">
        <w:rPr>
          <w:rFonts w:ascii="Arial" w:hAnsi="Arial"/>
          <w:sz w:val="24"/>
          <w:lang w:val="en-US"/>
        </w:rPr>
        <w:t>11</w:t>
      </w:r>
      <w:r w:rsidR="000A2C7C" w:rsidRPr="000A2C7C">
        <w:rPr>
          <w:rFonts w:ascii="Arial" w:hAnsi="Arial"/>
          <w:sz w:val="24"/>
          <w:lang w:val="en-US"/>
        </w:rPr>
        <w:t>.</w:t>
      </w:r>
      <w:r w:rsidR="00B04CE0">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01F3243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04CE0" w:rsidRPr="00B04CE0">
        <w:rPr>
          <w:rFonts w:ascii="Arial" w:hAnsi="Arial"/>
          <w:sz w:val="24"/>
        </w:rPr>
        <w:t>XR-specific capacity enhancements techniques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3" w:name="_Ref87036880"/>
      <w:r w:rsidRPr="00A440DA">
        <w:rPr>
          <w:rFonts w:eastAsia="바탕" w:hint="eastAsia"/>
          <w:b/>
          <w:lang w:eastAsia="ko-KR"/>
        </w:rPr>
        <w:t>Introduction</w:t>
      </w:r>
      <w:bookmarkEnd w:id="3"/>
    </w:p>
    <w:p w14:paraId="01ECCBE0" w14:textId="3624DA44"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D92FCD">
        <w:rPr>
          <w:rFonts w:eastAsia="맑은 고딕" w:hint="eastAsia"/>
          <w:kern w:val="2"/>
          <w:sz w:val="22"/>
          <w:szCs w:val="22"/>
          <w:lang w:val="en-US" w:eastAsia="ko-KR"/>
        </w:rPr>
        <w:t>The</w:t>
      </w:r>
      <w:r w:rsidR="00461EEF" w:rsidRPr="00E3030E">
        <w:rPr>
          <w:rFonts w:eastAsia="맑은 고딕"/>
          <w:kern w:val="2"/>
          <w:sz w:val="22"/>
          <w:szCs w:val="22"/>
          <w:lang w:val="en-US" w:eastAsia="ko-KR"/>
        </w:rPr>
        <w:t xml:space="preserve"> </w:t>
      </w:r>
      <w:r w:rsidR="00D92FCD">
        <w:rPr>
          <w:rFonts w:eastAsia="맑은 고딕"/>
          <w:kern w:val="2"/>
          <w:sz w:val="22"/>
          <w:szCs w:val="22"/>
          <w:lang w:val="en-US" w:eastAsia="ko-KR"/>
        </w:rPr>
        <w:t>Re1-18 SI</w:t>
      </w:r>
      <w:r w:rsidR="00461EEF" w:rsidRPr="00E3030E">
        <w:rPr>
          <w:rFonts w:eastAsia="맑은 고딕"/>
          <w:kern w:val="2"/>
          <w:sz w:val="22"/>
          <w:szCs w:val="22"/>
          <w:lang w:val="en-US" w:eastAsia="ko-KR"/>
        </w:rPr>
        <w:t xml:space="preserve"> titled “</w:t>
      </w:r>
      <w:r w:rsidR="00D92FCD" w:rsidRPr="00D92FCD">
        <w:rPr>
          <w:sz w:val="22"/>
          <w:szCs w:val="22"/>
        </w:rPr>
        <w:t>Study on XR Enhancements for NR</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779B8">
        <w:rPr>
          <w:rFonts w:eastAsia="맑은 고딕"/>
          <w:kern w:val="2"/>
          <w:sz w:val="22"/>
          <w:szCs w:val="22"/>
          <w:lang w:val="en-US" w:eastAsia="ko-KR"/>
        </w:rPr>
        <w:t>in</w:t>
      </w:r>
      <w:r w:rsidR="00E779B8">
        <w:rPr>
          <w:rFonts w:eastAsia="맑은 고딕" w:hint="eastAsia"/>
          <w:kern w:val="2"/>
          <w:sz w:val="22"/>
          <w:szCs w:val="22"/>
          <w:lang w:val="en-US" w:eastAsia="ko-KR"/>
        </w:rPr>
        <w:t xml:space="preserve"> </w:t>
      </w:r>
      <w:r w:rsidR="00E779B8">
        <w:rPr>
          <w:rFonts w:eastAsia="맑은 고딕"/>
          <w:kern w:val="2"/>
          <w:sz w:val="22"/>
          <w:szCs w:val="22"/>
          <w:lang w:val="en-US" w:eastAsia="ko-KR"/>
        </w:rPr>
        <w:t>RAN#</w:t>
      </w:r>
      <w:r w:rsidR="00557DBD">
        <w:rPr>
          <w:rFonts w:eastAsia="맑은 고딕"/>
          <w:kern w:val="2"/>
          <w:sz w:val="22"/>
          <w:szCs w:val="22"/>
          <w:lang w:val="en-US" w:eastAsia="ko-KR"/>
        </w:rPr>
        <w:t>94</w:t>
      </w:r>
      <w:r w:rsidR="00E779B8">
        <w:rPr>
          <w:rFonts w:eastAsia="맑은 고딕"/>
          <w:kern w:val="2"/>
          <w:sz w:val="22"/>
          <w:szCs w:val="22"/>
          <w:lang w:val="en-US" w:eastAsia="ko-KR"/>
        </w:rPr>
        <w:t xml:space="preserve">-e </w:t>
      </w:r>
      <w:r w:rsidR="00E779B8" w:rsidRPr="00461EEF">
        <w:rPr>
          <w:rFonts w:eastAsia="맑은 고딕"/>
          <w:kern w:val="2"/>
          <w:sz w:val="22"/>
          <w:szCs w:val="22"/>
          <w:lang w:val="en-US" w:eastAsia="ko-KR"/>
        </w:rPr>
        <w:t>meeting</w:t>
      </w:r>
      <w:r w:rsidR="00557DBD">
        <w:rPr>
          <w:rFonts w:eastAsia="맑은 고딕"/>
          <w:kern w:val="2"/>
          <w:sz w:val="22"/>
          <w:szCs w:val="22"/>
          <w:lang w:val="en-US" w:eastAsia="ko-KR"/>
        </w:rPr>
        <w:t xml:space="preserve"> </w:t>
      </w:r>
      <w:r w:rsidR="00557DBD">
        <w:rPr>
          <w:rFonts w:eastAsia="맑은 고딕"/>
          <w:kern w:val="2"/>
          <w:sz w:val="22"/>
          <w:szCs w:val="22"/>
          <w:lang w:val="en-US" w:eastAsia="ko-KR"/>
        </w:rPr>
        <w:fldChar w:fldCharType="begin"/>
      </w:r>
      <w:r w:rsidR="00557DBD">
        <w:rPr>
          <w:rFonts w:eastAsia="맑은 고딕"/>
          <w:kern w:val="2"/>
          <w:sz w:val="22"/>
          <w:szCs w:val="22"/>
          <w:lang w:val="en-US" w:eastAsia="ko-KR"/>
        </w:rPr>
        <w:instrText xml:space="preserve"> REF _Ref68547076 \n \h </w:instrText>
      </w:r>
      <w:r w:rsidR="00557DBD">
        <w:rPr>
          <w:rFonts w:eastAsia="맑은 고딕"/>
          <w:kern w:val="2"/>
          <w:sz w:val="22"/>
          <w:szCs w:val="22"/>
          <w:lang w:val="en-US" w:eastAsia="ko-KR"/>
        </w:rPr>
      </w:r>
      <w:r w:rsidR="00557DBD">
        <w:rPr>
          <w:rFonts w:eastAsia="맑은 고딕"/>
          <w:kern w:val="2"/>
          <w:sz w:val="22"/>
          <w:szCs w:val="22"/>
          <w:lang w:val="en-US" w:eastAsia="ko-KR"/>
        </w:rPr>
        <w:fldChar w:fldCharType="separate"/>
      </w:r>
      <w:r w:rsidR="00557DBD">
        <w:rPr>
          <w:rFonts w:eastAsia="맑은 고딕"/>
          <w:kern w:val="2"/>
          <w:sz w:val="22"/>
          <w:szCs w:val="22"/>
          <w:lang w:val="en-US" w:eastAsia="ko-KR"/>
        </w:rPr>
        <w:t>[1]</w:t>
      </w:r>
      <w:r w:rsidR="00557DBD">
        <w:rPr>
          <w:rFonts w:eastAsia="맑은 고딕"/>
          <w:kern w:val="2"/>
          <w:sz w:val="22"/>
          <w:szCs w:val="22"/>
          <w:lang w:val="en-US" w:eastAsia="ko-KR"/>
        </w:rPr>
        <w:fldChar w:fldCharType="end"/>
      </w:r>
      <w:r w:rsidR="00461EEF">
        <w:rPr>
          <w:rFonts w:eastAsia="맑은 고딕"/>
          <w:kern w:val="2"/>
          <w:sz w:val="22"/>
          <w:szCs w:val="22"/>
          <w:lang w:val="en-US" w:eastAsia="ko-KR"/>
        </w:rPr>
        <w:t>.</w:t>
      </w:r>
      <w:r w:rsidR="00D92FCD">
        <w:rPr>
          <w:rFonts w:eastAsia="맑은 고딕"/>
          <w:kern w:val="2"/>
          <w:sz w:val="22"/>
          <w:szCs w:val="22"/>
          <w:lang w:val="en-US" w:eastAsia="ko-KR"/>
        </w:rPr>
        <w:t xml:space="preserve"> The study is mainly on the techniques for enhancements for XR from RAN1 perspective. </w:t>
      </w:r>
      <w:r w:rsidR="00410A8F">
        <w:rPr>
          <w:rFonts w:eastAsia="맑은 고딕"/>
          <w:kern w:val="2"/>
          <w:sz w:val="22"/>
          <w:szCs w:val="22"/>
          <w:lang w:val="en-US" w:eastAsia="ko-KR"/>
        </w:rPr>
        <w:t xml:space="preserve">The </w:t>
      </w:r>
      <w:r w:rsidR="00D92FCD">
        <w:rPr>
          <w:rFonts w:eastAsia="맑은 고딕"/>
          <w:kern w:val="2"/>
          <w:sz w:val="22"/>
          <w:szCs w:val="22"/>
          <w:lang w:val="en-US" w:eastAsia="ko-KR"/>
        </w:rPr>
        <w:t>S</w:t>
      </w:r>
      <w:r w:rsidR="00410A8F">
        <w:rPr>
          <w:rFonts w:eastAsia="맑은 고딕"/>
          <w:kern w:val="2"/>
          <w:sz w:val="22"/>
          <w:szCs w:val="22"/>
          <w:lang w:val="en-US" w:eastAsia="ko-KR"/>
        </w:rPr>
        <w:t xml:space="preserve">I objectives </w:t>
      </w:r>
      <w:r w:rsidR="00D92FCD">
        <w:rPr>
          <w:rFonts w:eastAsia="맑은 고딕"/>
          <w:kern w:val="2"/>
          <w:sz w:val="22"/>
          <w:szCs w:val="22"/>
          <w:lang w:val="en-US" w:eastAsia="ko-KR"/>
        </w:rPr>
        <w:t xml:space="preserve">are copied below for reference from the </w:t>
      </w:r>
      <w:r w:rsidR="00410A8F">
        <w:rPr>
          <w:rFonts w:eastAsia="맑은 고딕"/>
          <w:kern w:val="2"/>
          <w:sz w:val="22"/>
          <w:szCs w:val="22"/>
          <w:lang w:val="en-US" w:eastAsia="ko-KR"/>
        </w:rPr>
        <w:t xml:space="preserve">latest version of the </w:t>
      </w:r>
      <w:r w:rsidR="00D92FCD">
        <w:rPr>
          <w:rFonts w:eastAsia="맑은 고딕"/>
          <w:kern w:val="2"/>
          <w:sz w:val="22"/>
          <w:szCs w:val="22"/>
          <w:lang w:val="en-US" w:eastAsia="ko-KR"/>
        </w:rPr>
        <w:t>S</w:t>
      </w:r>
      <w:r w:rsidR="00410A8F">
        <w:rPr>
          <w:rFonts w:eastAsia="맑은 고딕"/>
          <w:kern w:val="2"/>
          <w:sz w:val="22"/>
          <w:szCs w:val="22"/>
          <w:lang w:val="en-US" w:eastAsia="ko-KR"/>
        </w:rPr>
        <w:t>ID</w:t>
      </w:r>
      <w:r w:rsidR="00557DBD">
        <w:rPr>
          <w:rFonts w:eastAsia="맑은 고딕"/>
          <w:kern w:val="2"/>
          <w:sz w:val="22"/>
          <w:szCs w:val="22"/>
          <w:lang w:val="en-US" w:eastAsia="ko-KR"/>
        </w:rPr>
        <w:t xml:space="preserve"> </w:t>
      </w:r>
      <w:r w:rsidR="00557DBD">
        <w:rPr>
          <w:rFonts w:eastAsia="맑은 고딕"/>
          <w:kern w:val="2"/>
          <w:sz w:val="22"/>
          <w:szCs w:val="22"/>
          <w:lang w:val="en-US" w:eastAsia="ko-KR"/>
        </w:rPr>
        <w:fldChar w:fldCharType="begin"/>
      </w:r>
      <w:r w:rsidR="00557DBD">
        <w:rPr>
          <w:rFonts w:eastAsia="맑은 고딕"/>
          <w:kern w:val="2"/>
          <w:sz w:val="22"/>
          <w:szCs w:val="22"/>
          <w:lang w:val="en-US" w:eastAsia="ko-KR"/>
        </w:rPr>
        <w:instrText xml:space="preserve"> REF _Ref102119747 \n \h </w:instrText>
      </w:r>
      <w:r w:rsidR="00557DBD">
        <w:rPr>
          <w:rFonts w:eastAsia="맑은 고딕"/>
          <w:kern w:val="2"/>
          <w:sz w:val="22"/>
          <w:szCs w:val="22"/>
          <w:lang w:val="en-US" w:eastAsia="ko-KR"/>
        </w:rPr>
      </w:r>
      <w:r w:rsidR="00557DBD">
        <w:rPr>
          <w:rFonts w:eastAsia="맑은 고딕"/>
          <w:kern w:val="2"/>
          <w:sz w:val="22"/>
          <w:szCs w:val="22"/>
          <w:lang w:val="en-US" w:eastAsia="ko-KR"/>
        </w:rPr>
        <w:fldChar w:fldCharType="separate"/>
      </w:r>
      <w:r w:rsidR="00557DBD">
        <w:rPr>
          <w:rFonts w:eastAsia="맑은 고딕"/>
          <w:kern w:val="2"/>
          <w:sz w:val="22"/>
          <w:szCs w:val="22"/>
          <w:lang w:val="en-US" w:eastAsia="ko-KR"/>
        </w:rPr>
        <w:t>[2]</w:t>
      </w:r>
      <w:r w:rsidR="00557DBD">
        <w:rPr>
          <w:rFonts w:eastAsia="맑은 고딕"/>
          <w:kern w:val="2"/>
          <w:sz w:val="22"/>
          <w:szCs w:val="22"/>
          <w:lang w:val="en-US" w:eastAsia="ko-KR"/>
        </w:rPr>
        <w:fldChar w:fldCharType="end"/>
      </w:r>
      <w:r w:rsidR="00410A8F">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381ABB" w14:paraId="170B1ED7" w14:textId="77777777" w:rsidTr="00381ABB">
        <w:tc>
          <w:tcPr>
            <w:tcW w:w="9728" w:type="dxa"/>
            <w:shd w:val="clear" w:color="auto" w:fill="auto"/>
          </w:tcPr>
          <w:p w14:paraId="0FE5A9C9"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XR-awareness in RAN (RAN2):</w:t>
            </w:r>
          </w:p>
          <w:p w14:paraId="78AF2FB3"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and identify the XR traffic (both UL and DL) characteristics, QoS metrics, and application layer attributes beneficial for the gNB to be aware of.</w:t>
            </w:r>
          </w:p>
          <w:p w14:paraId="73C5E241"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how the above information aids XR-specific traffic handling.</w:t>
            </w:r>
          </w:p>
          <w:p w14:paraId="0985DE1D"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p>
          <w:p w14:paraId="6FA6B3CE"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XR-specific Power Saving (RAN1, RAN2):</w:t>
            </w:r>
          </w:p>
          <w:p w14:paraId="694CEBA8"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XR specific power saving techniques to accommodate XR service characteristics (periodicity, multiple flows, jitter, latency, reliability, etc...). Focus is on the following techniques:</w:t>
            </w:r>
          </w:p>
          <w:p w14:paraId="46F975C1"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C-DRX enhancement.</w:t>
            </w:r>
          </w:p>
          <w:p w14:paraId="6B275244"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PDCCH monitoring enhancement.</w:t>
            </w:r>
          </w:p>
          <w:p w14:paraId="5E8BDCC8"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p>
          <w:p w14:paraId="36A1DC05"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XR-specific capacity improvements (RAN1, RAN2):</w:t>
            </w:r>
          </w:p>
          <w:p w14:paraId="7A826CDA"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mechanisms that provide more efficient resource allocation and scheduling for XR service characteristics (periodicity, multiple flows, jitter, latency, reliability, etc…). Focus is on the following mechanisms:</w:t>
            </w:r>
          </w:p>
          <w:p w14:paraId="7896DA82"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SPS and CG enhancements;</w:t>
            </w:r>
          </w:p>
          <w:p w14:paraId="4E499C0C"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Dynamic scheduling/grant enhancements.</w:t>
            </w:r>
          </w:p>
          <w:p w14:paraId="2F6028D4" w14:textId="00753ED0" w:rsidR="00C12217" w:rsidRPr="00E96C56" w:rsidRDefault="00C12217" w:rsidP="00DE502F">
            <w:pPr>
              <w:overflowPunct w:val="0"/>
              <w:autoSpaceDE w:val="0"/>
              <w:autoSpaceDN w:val="0"/>
              <w:adjustRightInd w:val="0"/>
              <w:spacing w:before="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lastRenderedPageBreak/>
        <w:t>Discussion</w:t>
      </w:r>
    </w:p>
    <w:p w14:paraId="74C6891F" w14:textId="7F3A1403" w:rsidR="00E3030E" w:rsidRDefault="00694D1C" w:rsidP="00B04CE0">
      <w:pPr>
        <w:pStyle w:val="Doc"/>
      </w:pPr>
      <w:r>
        <w:rPr>
          <w:rFonts w:hint="eastAsia"/>
        </w:rPr>
        <w:t>I</w:t>
      </w:r>
      <w:r w:rsidR="00FC4310" w:rsidRPr="00FC4310">
        <w:t>n this contribution, we present our view</w:t>
      </w:r>
      <w:r w:rsidR="00A8576C">
        <w:t>s</w:t>
      </w:r>
      <w:r w:rsidR="00FC4310" w:rsidRPr="00FC4310">
        <w:t xml:space="preserve"> on </w:t>
      </w:r>
      <w:r w:rsidR="00E3030E">
        <w:t>the</w:t>
      </w:r>
      <w:r w:rsidR="00557DBD">
        <w:t xml:space="preserve"> potential enhancements of </w:t>
      </w:r>
      <w:r w:rsidR="00B04CE0">
        <w:t>capacity enhancement</w:t>
      </w:r>
      <w:r w:rsidR="00557DBD" w:rsidRPr="00557DBD">
        <w:t xml:space="preserve"> techniques</w:t>
      </w:r>
      <w:r w:rsidR="00557DBD">
        <w:t xml:space="preserve"> for XR</w:t>
      </w:r>
      <w:r w:rsidR="00270455">
        <w:t>.</w:t>
      </w:r>
    </w:p>
    <w:p w14:paraId="4C098888" w14:textId="11F8379E" w:rsidR="00111274" w:rsidRPr="009E19D6" w:rsidRDefault="004A56F3" w:rsidP="009E19D6">
      <w:pPr>
        <w:pStyle w:val="2"/>
      </w:pPr>
      <w:r w:rsidRPr="009E19D6">
        <w:t>Characteristics of XR traffic relevant for capacity enhancement</w:t>
      </w:r>
    </w:p>
    <w:p w14:paraId="2F3CBF48" w14:textId="7D9C25F5" w:rsidR="006D77C6" w:rsidRDefault="00DF7B3B" w:rsidP="006D77C6">
      <w:pPr>
        <w:pStyle w:val="Doc"/>
      </w:pPr>
      <w:r>
        <w:t xml:space="preserve">Before considering how to enhance capacity for XR services, it should be considered what kind of characteristics of XR traffic would make capacity issues. </w:t>
      </w:r>
      <w:r w:rsidR="00276D0B" w:rsidRPr="00276D0B">
        <w:t xml:space="preserve">As captured in the SID objectives, characteristics </w:t>
      </w:r>
      <w:r w:rsidR="00276D0B">
        <w:t xml:space="preserve">such as </w:t>
      </w:r>
      <w:r w:rsidR="00276D0B" w:rsidRPr="00276D0B">
        <w:t>periodicity, multiple flows, jitt</w:t>
      </w:r>
      <w:r w:rsidR="00276D0B">
        <w:t xml:space="preserve">er, latency and reliability </w:t>
      </w:r>
      <w:r w:rsidR="00276D0B" w:rsidRPr="00276D0B">
        <w:t>need to be taken</w:t>
      </w:r>
      <w:r w:rsidR="00276D0B">
        <w:t xml:space="preserve"> into account for XR-specific capacity</w:t>
      </w:r>
      <w:r w:rsidR="00276D0B" w:rsidRPr="00276D0B">
        <w:t xml:space="preserve"> enhancements.</w:t>
      </w:r>
      <w:r w:rsidR="00276D0B">
        <w:rPr>
          <w:rFonts w:hint="eastAsia"/>
        </w:rPr>
        <w:t xml:space="preserve"> </w:t>
      </w:r>
      <w:r w:rsidR="00276D0B">
        <w:t xml:space="preserve">Those characteristics are mutually connected in terms of capacity performance. For example, the combination of periodicity and jitter would require redundant transmission occasion of SPS/CG configuration. Another example would be multiple flows and periodicity which are limited by the maximum number of SPS/CG configuration. If </w:t>
      </w:r>
      <w:r w:rsidR="008E65CB">
        <w:t xml:space="preserve">dynamic scheduling is mainly used for </w:t>
      </w:r>
      <w:r w:rsidR="008E65CB" w:rsidRPr="008E65CB">
        <w:t>certain</w:t>
      </w:r>
      <w:r w:rsidR="008E65CB">
        <w:t xml:space="preserve"> XR services, PDCCH blockage can also be considered as capacity issue. </w:t>
      </w:r>
      <w:r w:rsidR="006D77C6">
        <w:t xml:space="preserve">In this point of view, </w:t>
      </w:r>
      <w:r w:rsidR="00BE23A4">
        <w:t>it would be necessary to consider various aspect rather than considering an amount of throughput or link budget.</w:t>
      </w:r>
    </w:p>
    <w:p w14:paraId="1D2BC370" w14:textId="4B63B131" w:rsidR="004A56F3" w:rsidRDefault="00BE23A4" w:rsidP="00BE23A4">
      <w:pPr>
        <w:pStyle w:val="rProposal"/>
        <w:rPr>
          <w:lang w:val="en-US"/>
        </w:rPr>
      </w:pPr>
      <w:r>
        <w:rPr>
          <w:rFonts w:hint="eastAsia"/>
          <w:lang w:val="en-US"/>
        </w:rPr>
        <w:t xml:space="preserve">Observation: A combination of XR </w:t>
      </w:r>
      <w:r w:rsidRPr="00BE23A4">
        <w:rPr>
          <w:lang w:val="en-US"/>
        </w:rPr>
        <w:t>characteristics</w:t>
      </w:r>
      <w:r>
        <w:rPr>
          <w:lang w:val="en-US"/>
        </w:rPr>
        <w:t xml:space="preserve"> can make capacity issues in various aspect.</w:t>
      </w:r>
    </w:p>
    <w:p w14:paraId="0D3B69C3" w14:textId="77777777" w:rsidR="009E19D6" w:rsidRPr="009E19D6" w:rsidRDefault="009E19D6" w:rsidP="006920AE">
      <w:pPr>
        <w:spacing w:before="120" w:line="240" w:lineRule="auto"/>
        <w:ind w:left="0" w:firstLine="0"/>
        <w:rPr>
          <w:rFonts w:eastAsia="맑은 고딕"/>
          <w:kern w:val="2"/>
          <w:sz w:val="22"/>
          <w:szCs w:val="22"/>
          <w:lang w:val="en-US" w:eastAsia="ko-KR"/>
        </w:rPr>
      </w:pPr>
    </w:p>
    <w:p w14:paraId="1E04072C" w14:textId="7160C2E1" w:rsidR="009E19D6" w:rsidRDefault="009E19D6" w:rsidP="009E19D6">
      <w:pPr>
        <w:pStyle w:val="2"/>
      </w:pPr>
      <w:r>
        <w:t>SPS/CG enhancement for XR-specific capacity improvement</w:t>
      </w:r>
    </w:p>
    <w:p w14:paraId="5E380F6D" w14:textId="0D48A3A6" w:rsidR="009E19D6" w:rsidRDefault="00BE23A4" w:rsidP="00BE23A4">
      <w:pPr>
        <w:pStyle w:val="Doc"/>
      </w:pPr>
      <w:r>
        <w:t>S</w:t>
      </w:r>
      <w:r>
        <w:rPr>
          <w:rFonts w:hint="eastAsia"/>
        </w:rPr>
        <w:t>ince PDSCH/PUSCH scheduling method in NR</w:t>
      </w:r>
      <w:r>
        <w:t xml:space="preserve"> can be categorized as dynamic and semi-static</w:t>
      </w:r>
      <w:r>
        <w:rPr>
          <w:rFonts w:hint="eastAsia"/>
        </w:rPr>
        <w:t xml:space="preserve">, </w:t>
      </w:r>
      <w:r>
        <w:t>periodicity</w:t>
      </w:r>
      <w:r>
        <w:rPr>
          <w:rFonts w:hint="eastAsia"/>
        </w:rPr>
        <w:t xml:space="preserve"> </w:t>
      </w:r>
      <w:r>
        <w:t>characteristic should be considered first. For traffic flow having predictable payload size and periodic</w:t>
      </w:r>
      <w:r w:rsidR="009E19D6">
        <w:t>ity</w:t>
      </w:r>
      <w:r>
        <w:t xml:space="preserve">, it is straightforward to use DL SPS or UL CG. </w:t>
      </w:r>
      <w:r w:rsidR="009E19D6">
        <w:t xml:space="preserve">However, the problem is that the periodicity cannot be guaranteed in symbol or slot level due to other characteristic like jitter. Moreover, GOP structure of video stream would require different transport block size in time. </w:t>
      </w:r>
    </w:p>
    <w:p w14:paraId="36BADC51" w14:textId="6A69170C" w:rsidR="009E19D6" w:rsidRDefault="00D57195" w:rsidP="00BE23A4">
      <w:pPr>
        <w:pStyle w:val="Doc"/>
      </w:pPr>
      <w:r>
        <w:rPr>
          <w:rFonts w:hint="eastAsia"/>
        </w:rPr>
        <w:t xml:space="preserve">In case of jitter, the impact of jitter can be mitigated by sufficient transmission </w:t>
      </w:r>
      <w:r>
        <w:t>occasion (TO)</w:t>
      </w:r>
      <w:r>
        <w:rPr>
          <w:rFonts w:hint="eastAsia"/>
        </w:rPr>
        <w:t>.</w:t>
      </w:r>
      <w:r>
        <w:t xml:space="preserve"> For example, UE can be configured with multiple SPS/CG configuration having the same periodicity and with different starting offset. Then, multiple TO can be configured around expected traffic arrival time, so that UE can choose nearest TO while </w:t>
      </w:r>
      <w:r w:rsidRPr="00D57195">
        <w:t xml:space="preserve">maintaining a certain level of </w:t>
      </w:r>
      <w:r>
        <w:t xml:space="preserve">waiting time even with some drift. However, it would require a </w:t>
      </w:r>
      <w:r w:rsidRPr="00D57195">
        <w:t>tremendous</w:t>
      </w:r>
      <w:r>
        <w:t xml:space="preserve"> number of SPS/CG only for few traffic flows. Thus, it would be necessary to consider new resource allocation method for SPS/CG which supports multiple TO in a periodicity </w:t>
      </w:r>
      <w:r w:rsidR="00EF5695">
        <w:t>with single configurations.</w:t>
      </w:r>
    </w:p>
    <w:p w14:paraId="39A2CE11" w14:textId="5CA61414" w:rsidR="009E19D6" w:rsidRPr="00EF5695" w:rsidRDefault="00EF5695" w:rsidP="00EF5695">
      <w:pPr>
        <w:pStyle w:val="rProposal"/>
      </w:pPr>
      <w:r>
        <w:t xml:space="preserve">Proposal </w:t>
      </w:r>
      <w:r w:rsidR="001A7600">
        <w:t>1</w:t>
      </w:r>
      <w:r>
        <w:t xml:space="preserve">: </w:t>
      </w:r>
      <w:r w:rsidR="00202B27">
        <w:t xml:space="preserve">At least </w:t>
      </w:r>
      <w:r>
        <w:t xml:space="preserve">for jitter handling with SPS/CG configuration, it is necessary to allocate multiple TOs in a periodicity with single SPS/CG configurations. </w:t>
      </w:r>
    </w:p>
    <w:p w14:paraId="7B54F888" w14:textId="77777777" w:rsidR="00EF5695" w:rsidRPr="005C146B" w:rsidRDefault="00EF5695" w:rsidP="00BE23A4">
      <w:pPr>
        <w:pStyle w:val="Doc"/>
        <w:rPr>
          <w:lang w:val="en-GB"/>
        </w:rPr>
      </w:pPr>
    </w:p>
    <w:p w14:paraId="4A9177AC" w14:textId="76830CB1" w:rsidR="00BE23A4" w:rsidRDefault="009E19D6" w:rsidP="00BE23A4">
      <w:pPr>
        <w:pStyle w:val="Doc"/>
      </w:pPr>
      <w:r>
        <w:t xml:space="preserve">On the other hands, some </w:t>
      </w:r>
      <w:r w:rsidR="00EF5695">
        <w:t xml:space="preserve">XR services use multiple data flows. For example, in general AR/VR scenarios, it is required to transfer video/audio data with pose data of AR/VR devices. In this case, a number of SPS/CG configurations can be configured for single XR service. Multiple SPS/CG configurations also can be used for GOP structure of video stream in order to cover different payload size between I-frame and P-frame. For those </w:t>
      </w:r>
      <w:r w:rsidR="00EF5695">
        <w:lastRenderedPageBreak/>
        <w:t xml:space="preserve">case, </w:t>
      </w:r>
      <w:r w:rsidR="00202B27">
        <w:t xml:space="preserve">when services are switched, </w:t>
      </w:r>
      <w:r w:rsidR="00EF5695">
        <w:t xml:space="preserve">UE may need to activate/deactivate at once even SPS and CG together which are configured for same services. </w:t>
      </w:r>
      <w:r w:rsidR="00202B27">
        <w:t xml:space="preserve">In current specification, multiple configurations can be activated by same amount of DCIs. It means that it would take a time of a number of PDCCH monitoring occasion. For release, multiple SPS or CG can be jointly released by a single release DCI, however, at least two DCIs are required to release services using both SPS and CG. </w:t>
      </w:r>
    </w:p>
    <w:p w14:paraId="2D41E85A" w14:textId="4421A61A" w:rsidR="00EF5695" w:rsidRDefault="00202B27" w:rsidP="00202B27">
      <w:pPr>
        <w:pStyle w:val="rProposal"/>
      </w:pPr>
      <w:r>
        <w:rPr>
          <w:rFonts w:hint="eastAsia"/>
        </w:rPr>
        <w:t xml:space="preserve">Proposal </w:t>
      </w:r>
      <w:r w:rsidR="001A7600">
        <w:t>2</w:t>
      </w:r>
      <w:r>
        <w:rPr>
          <w:rFonts w:hint="eastAsia"/>
        </w:rPr>
        <w:t xml:space="preserve">: </w:t>
      </w:r>
      <w:r w:rsidR="001A7600">
        <w:t>I</w:t>
      </w:r>
      <w:r w:rsidR="001A7600">
        <w:rPr>
          <w:rFonts w:hint="eastAsia"/>
        </w:rPr>
        <w:t xml:space="preserve">t </w:t>
      </w:r>
      <w:r>
        <w:rPr>
          <w:rFonts w:hint="eastAsia"/>
        </w:rPr>
        <w:t xml:space="preserve">can be considered to activate/release </w:t>
      </w:r>
      <w:r>
        <w:t xml:space="preserve">multiple </w:t>
      </w:r>
      <w:r>
        <w:rPr>
          <w:rFonts w:hint="eastAsia"/>
        </w:rPr>
        <w:t xml:space="preserve">SPS/CG </w:t>
      </w:r>
      <w:r>
        <w:t>and/</w:t>
      </w:r>
      <w:r>
        <w:rPr>
          <w:rFonts w:hint="eastAsia"/>
        </w:rPr>
        <w:t>or other semi-static configuration with le</w:t>
      </w:r>
      <w:r w:rsidR="0062619F">
        <w:t>ast</w:t>
      </w:r>
      <w:r>
        <w:rPr>
          <w:rFonts w:hint="eastAsia"/>
        </w:rPr>
        <w:t xml:space="preserve"> number of DCI</w:t>
      </w:r>
      <w:r w:rsidR="0062619F">
        <w:t>s</w:t>
      </w:r>
      <w:r>
        <w:rPr>
          <w:rFonts w:hint="eastAsia"/>
        </w:rPr>
        <w:t xml:space="preserve">. </w:t>
      </w:r>
    </w:p>
    <w:p w14:paraId="329EDDEE" w14:textId="77777777" w:rsidR="002C450B" w:rsidRDefault="002C450B" w:rsidP="00BE23A4">
      <w:pPr>
        <w:pStyle w:val="Doc"/>
      </w:pPr>
    </w:p>
    <w:p w14:paraId="4F055C1E" w14:textId="189D3A68" w:rsidR="00CE7F8F" w:rsidRDefault="002C450B" w:rsidP="0077028C">
      <w:pPr>
        <w:pStyle w:val="Doc"/>
      </w:pPr>
      <w:r>
        <w:rPr>
          <w:rFonts w:hint="eastAsia"/>
        </w:rPr>
        <w:t xml:space="preserve">For multiple configurations related to single service, </w:t>
      </w:r>
      <w:r>
        <w:t xml:space="preserve">it would be beneficial to define interaction </w:t>
      </w:r>
      <w:r w:rsidR="0077028C">
        <w:t>with</w:t>
      </w:r>
      <w:r>
        <w:t xml:space="preserve"> semi-static configurations, </w:t>
      </w:r>
      <w:r w:rsidR="006054CD">
        <w:t>i.e., CG groups</w:t>
      </w:r>
      <w:r>
        <w:t xml:space="preserve">. For example, if two CG are configured for I-frame and P-frame, CG for P-frame may not be used necessarily before CG for I-frame is used. </w:t>
      </w:r>
      <w:r w:rsidR="0077028C">
        <w:t xml:space="preserve">Thus, </w:t>
      </w:r>
      <w:r w:rsidR="00CE7F8F">
        <w:t xml:space="preserve">it can be considered for </w:t>
      </w:r>
      <w:r w:rsidR="0077028C">
        <w:t xml:space="preserve">UE </w:t>
      </w:r>
      <w:r w:rsidR="00CE7F8F">
        <w:t xml:space="preserve">to use two CGs for I-fame and </w:t>
      </w:r>
      <w:r w:rsidR="0077028C">
        <w:t>P-frame</w:t>
      </w:r>
      <w:r w:rsidR="00CE7F8F">
        <w:t xml:space="preserve"> selectively</w:t>
      </w:r>
      <w:r w:rsidR="0077028C">
        <w:t xml:space="preserve"> </w:t>
      </w:r>
      <w:r w:rsidR="00CE7F8F">
        <w:t>based on given video traffic pattern rather than allocated TO</w:t>
      </w:r>
      <w:r w:rsidR="0077028C">
        <w:t xml:space="preserve">. Those kind of relationship can be found easily in various XR service, such as UE pose data and video. </w:t>
      </w:r>
    </w:p>
    <w:p w14:paraId="46E75508" w14:textId="59EE12C1" w:rsidR="0077028C" w:rsidRDefault="0077028C" w:rsidP="0077028C">
      <w:pPr>
        <w:pStyle w:val="Doc"/>
      </w:pPr>
      <w:r>
        <w:t>Since this approach is basically restrict</w:t>
      </w:r>
      <w:r w:rsidR="0062619F">
        <w:t>ing</w:t>
      </w:r>
      <w:r>
        <w:t xml:space="preserve"> usage of SPS/CG, it may not seem necessary. However, considering cell capacity, gNB would need to configure same SPS/CG resource for multiple UE</w:t>
      </w:r>
      <w:r w:rsidR="00383C4B">
        <w:t>s</w:t>
      </w:r>
      <w:r>
        <w:t xml:space="preserve"> and let </w:t>
      </w:r>
      <w:r w:rsidR="00383C4B">
        <w:t xml:space="preserve">the </w:t>
      </w:r>
      <w:r>
        <w:t>UE</w:t>
      </w:r>
      <w:r w:rsidR="00383C4B">
        <w:t>s</w:t>
      </w:r>
      <w:r>
        <w:t xml:space="preserve"> utilize that resource opportunistically. In this case, overall UE capacity can be increased by restricting usage of SPS/CG. </w:t>
      </w:r>
    </w:p>
    <w:p w14:paraId="11F2DB65" w14:textId="2649D1A1" w:rsidR="0077028C" w:rsidRDefault="0077028C" w:rsidP="0077028C">
      <w:pPr>
        <w:pStyle w:val="rProposal"/>
      </w:pPr>
      <w:r>
        <w:rPr>
          <w:rFonts w:hint="eastAsia"/>
        </w:rPr>
        <w:t xml:space="preserve">Proposal 3: </w:t>
      </w:r>
      <w:r w:rsidR="00020E5C">
        <w:t>I</w:t>
      </w:r>
      <w:r>
        <w:rPr>
          <w:rFonts w:hint="eastAsia"/>
        </w:rPr>
        <w:t xml:space="preserve">t can be considered to </w:t>
      </w:r>
      <w:r>
        <w:t xml:space="preserve">define </w:t>
      </w:r>
      <w:r w:rsidR="00D91462">
        <w:t xml:space="preserve">UE behaviour on interaction between </w:t>
      </w:r>
      <w:r>
        <w:t>SPS/CG</w:t>
      </w:r>
      <w:r w:rsidR="00D91462">
        <w:t xml:space="preserve"> configurations</w:t>
      </w:r>
      <w:r w:rsidR="00020E5C">
        <w:t>, in order to improve overall UE capacity</w:t>
      </w:r>
      <w:r w:rsidR="00D91462">
        <w:t xml:space="preserve">. </w:t>
      </w:r>
    </w:p>
    <w:p w14:paraId="1AF11A04" w14:textId="77777777" w:rsidR="0077028C" w:rsidRDefault="0077028C" w:rsidP="0077028C">
      <w:pPr>
        <w:pStyle w:val="Doc"/>
        <w:rPr>
          <w:lang w:val="en-GB"/>
        </w:rPr>
      </w:pPr>
    </w:p>
    <w:p w14:paraId="0F48FF5B" w14:textId="3B3A7AC0" w:rsidR="00020E5C" w:rsidRDefault="00020E5C" w:rsidP="0077028C">
      <w:pPr>
        <w:pStyle w:val="Doc"/>
        <w:rPr>
          <w:lang w:val="en-GB"/>
        </w:rPr>
      </w:pPr>
      <w:r>
        <w:rPr>
          <w:rFonts w:hint="eastAsia"/>
          <w:lang w:val="en-GB"/>
        </w:rPr>
        <w:t>For efficient SPS/CG configuration, it should be necessary to know which traffic would use the SPS/CG</w:t>
      </w:r>
      <w:r>
        <w:rPr>
          <w:lang w:val="en-GB"/>
        </w:rPr>
        <w:t xml:space="preserve"> at transmitter side</w:t>
      </w:r>
      <w:r>
        <w:rPr>
          <w:rFonts w:hint="eastAsia"/>
          <w:lang w:val="en-GB"/>
        </w:rPr>
        <w:t xml:space="preserve">. </w:t>
      </w:r>
      <w:r>
        <w:rPr>
          <w:lang w:val="en-GB"/>
        </w:rPr>
        <w:t xml:space="preserve">However, especially for CG, gNB cannot acquire directly UE buffer status, like how many traffic arrives at buffer for each LCH or how much PDB is required to be guaranteed. In addition to this, if gNB knows higher layer information of UE side, e.g., video encoding parameter and expected GOP structure, gNB would be able to configure proper SPS/CG configuration according to UE buffer status and arrived traffic. Thus, </w:t>
      </w:r>
      <w:r w:rsidR="0062619F">
        <w:rPr>
          <w:lang w:val="en-GB"/>
        </w:rPr>
        <w:t>if</w:t>
      </w:r>
      <w:r w:rsidR="0062619F">
        <w:rPr>
          <w:lang w:val="en-GB"/>
        </w:rPr>
        <w:t xml:space="preserve"> </w:t>
      </w:r>
      <w:r>
        <w:rPr>
          <w:lang w:val="en-GB"/>
        </w:rPr>
        <w:t>it is possible for UE and gNB to exchange higher layer information including XR-specific traffic characteristic</w:t>
      </w:r>
      <w:r w:rsidR="0062619F">
        <w:rPr>
          <w:lang w:val="en-GB"/>
        </w:rPr>
        <w:t xml:space="preserve">, </w:t>
      </w:r>
      <w:r w:rsidR="00D91462">
        <w:rPr>
          <w:lang w:val="en-GB"/>
        </w:rPr>
        <w:t>we can</w:t>
      </w:r>
      <w:r w:rsidR="0062619F">
        <w:rPr>
          <w:lang w:val="en-GB"/>
        </w:rPr>
        <w:t xml:space="preserve"> assume that gNB could utilize </w:t>
      </w:r>
      <w:r w:rsidR="00D91462">
        <w:rPr>
          <w:lang w:val="en-GB"/>
        </w:rPr>
        <w:t>such information.</w:t>
      </w:r>
      <w:r>
        <w:rPr>
          <w:lang w:val="en-GB"/>
        </w:rPr>
        <w:t xml:space="preserve"> </w:t>
      </w:r>
    </w:p>
    <w:p w14:paraId="09BC4890" w14:textId="6046200D" w:rsidR="00202B27" w:rsidRPr="0077028C" w:rsidRDefault="00202B27" w:rsidP="00BE23A4">
      <w:pPr>
        <w:pStyle w:val="Doc"/>
      </w:pPr>
    </w:p>
    <w:p w14:paraId="22F67BA8" w14:textId="01009206" w:rsidR="008F605A" w:rsidRDefault="008F605A" w:rsidP="008F605A">
      <w:pPr>
        <w:pStyle w:val="2"/>
      </w:pPr>
      <w:r>
        <w:t>Dynamic scheduling</w:t>
      </w:r>
      <w:r w:rsidRPr="008F605A">
        <w:t xml:space="preserve"> enhancement for XR-specific capacity improvement</w:t>
      </w:r>
    </w:p>
    <w:p w14:paraId="49D012C2" w14:textId="71A5D327" w:rsidR="008F605A" w:rsidRDefault="00D02A92" w:rsidP="00D02A92">
      <w:pPr>
        <w:pStyle w:val="Doc"/>
      </w:pPr>
      <w:r>
        <w:rPr>
          <w:rFonts w:hint="eastAsia"/>
        </w:rPr>
        <w:t xml:space="preserve">Though an amount of XR specific traffics is expected as </w:t>
      </w:r>
      <w:r>
        <w:t>periodic</w:t>
      </w:r>
      <w:r>
        <w:rPr>
          <w:rFonts w:hint="eastAsia"/>
        </w:rPr>
        <w:t>, dynamic scheduling is still important to support XR service</w:t>
      </w:r>
      <w:r>
        <w:t>s. For example, traffic arrival of video stream would be periodic but not require same payload size for each arrival. And some traffic like pose dat</w:t>
      </w:r>
      <w:r w:rsidR="0080728E">
        <w:t>a</w:t>
      </w:r>
      <w:r>
        <w:t xml:space="preserve"> would</w:t>
      </w:r>
      <w:r w:rsidR="0080728E">
        <w:t xml:space="preserve"> be</w:t>
      </w:r>
      <w:r>
        <w:t xml:space="preserve"> periodic but not persistent. In this case, dynamic scheduling </w:t>
      </w:r>
      <w:r w:rsidR="0080728E">
        <w:t>is still</w:t>
      </w:r>
      <w:r>
        <w:t xml:space="preserve"> beneficial and slim rather than SPS/CG configuration.</w:t>
      </w:r>
    </w:p>
    <w:p w14:paraId="256A07EE" w14:textId="33E723C0" w:rsidR="0080728E" w:rsidRDefault="00D02A92" w:rsidP="00D02A92">
      <w:pPr>
        <w:pStyle w:val="Doc"/>
      </w:pPr>
      <w:r>
        <w:lastRenderedPageBreak/>
        <w:t xml:space="preserve">In case of uplink, SR may be transmitted for </w:t>
      </w:r>
      <w:r w:rsidR="0080728E">
        <w:t xml:space="preserve">requesting </w:t>
      </w:r>
      <w:r>
        <w:t xml:space="preserve">dynamic scheduling. Considering stringent requirement of XR service, </w:t>
      </w:r>
      <w:r w:rsidR="0080728E">
        <w:t xml:space="preserve">any kind of SR enhancement can be considered. Currently, SR resource and configured are corresponding to logical channel in MAC layer. Thus, possible SR enhancement would be dependent </w:t>
      </w:r>
      <w:r w:rsidR="0080728E">
        <w:rPr>
          <w:lang w:val="en-GB"/>
        </w:rPr>
        <w:t xml:space="preserve">whether it is possible for UE and gNB to exchange higher layer information including XR-specific traffic characteristic. </w:t>
      </w:r>
    </w:p>
    <w:p w14:paraId="594B662C" w14:textId="01A27B54" w:rsidR="0080728E" w:rsidRPr="00EF5695" w:rsidRDefault="0080728E" w:rsidP="0080728E">
      <w:pPr>
        <w:pStyle w:val="rProposal"/>
      </w:pPr>
      <w:r>
        <w:t xml:space="preserve">Proposal </w:t>
      </w:r>
      <w:r w:rsidR="00D91462">
        <w:t>4</w:t>
      </w:r>
      <w:r>
        <w:t xml:space="preserve">: </w:t>
      </w:r>
      <w:r>
        <w:rPr>
          <w:rFonts w:hint="eastAsia"/>
          <w:lang w:val="en-US"/>
        </w:rPr>
        <w:t>For XR-s</w:t>
      </w:r>
      <w:r>
        <w:rPr>
          <w:lang w:val="en-US"/>
        </w:rPr>
        <w:t>pecific capacity improvement, enhancement on scheduling request can be considered.</w:t>
      </w:r>
    </w:p>
    <w:p w14:paraId="45535730" w14:textId="77777777" w:rsidR="0080728E" w:rsidRPr="0080728E" w:rsidRDefault="0080728E" w:rsidP="0014003F">
      <w:pPr>
        <w:pStyle w:val="Doc"/>
        <w:rPr>
          <w:lang w:val="en-GB"/>
        </w:rPr>
      </w:pPr>
    </w:p>
    <w:p w14:paraId="7E0382E0" w14:textId="112E575C" w:rsidR="0014003F" w:rsidRDefault="00AC203A" w:rsidP="0014003F">
      <w:pPr>
        <w:pStyle w:val="Doc"/>
      </w:pPr>
      <w:r>
        <w:t>Most of improper scheduling is caused by misaligned</w:t>
      </w:r>
      <w:r w:rsidRPr="0014003F">
        <w:t xml:space="preserve"> </w:t>
      </w:r>
      <w:r>
        <w:t xml:space="preserve">or lack of information between gNB and UE. </w:t>
      </w:r>
      <w:r w:rsidR="00A61CB3">
        <w:t>Moreover, unexpected jitter and traffic arrival also make that impossible. To solve this problem, it would be straightforward to schedule multiple resource dynamically. For example, it can be considered for gNB to schedule overlapped PUSCHs in a slot or multiple PUSCH over multiple slots via scheduling DCI. Then, UE may utilize one of PUSCHs according to its traffic arrival or required TB size and gNB can receive UE’s PUSCH transmission by blind decoding among scheduled resources. If gNB schedule overlapped resource with different transmission parameter, scheduling flexibility can be increase</w:t>
      </w:r>
      <w:r w:rsidR="00E14A0C">
        <w:t>d</w:t>
      </w:r>
      <w:r w:rsidR="00A61CB3">
        <w:t xml:space="preserve"> without the waste of resources. From this point of view, UL grant scheduling multiple PUSCH resources would be baseline for jitter handling of dynamic scheduling</w:t>
      </w:r>
    </w:p>
    <w:p w14:paraId="4C48C63D" w14:textId="5161F83E" w:rsidR="00A61CB3" w:rsidRPr="00EF5695" w:rsidRDefault="00A61CB3" w:rsidP="00A61CB3">
      <w:pPr>
        <w:pStyle w:val="rProposal"/>
      </w:pPr>
      <w:r>
        <w:t xml:space="preserve">Proposal </w:t>
      </w:r>
      <w:r w:rsidR="00D91462">
        <w:t>5</w:t>
      </w:r>
      <w:r>
        <w:t xml:space="preserve">: At least for jitter handling with dynamic PUSCH scheduling, it is necessary to consider UL grant scheduling overlapped or non-overlapped PUSCH resources. </w:t>
      </w:r>
    </w:p>
    <w:p w14:paraId="24C56DB1" w14:textId="77777777" w:rsidR="00A61CB3" w:rsidRPr="00A61CB3" w:rsidRDefault="00A61CB3" w:rsidP="0014003F">
      <w:pPr>
        <w:pStyle w:val="Doc"/>
        <w:rPr>
          <w:lang w:val="en-GB"/>
        </w:rPr>
      </w:pPr>
    </w:p>
    <w:p w14:paraId="04558253" w14:textId="44748ED0" w:rsidR="008F605A" w:rsidRDefault="00D02A92" w:rsidP="008F605A">
      <w:pPr>
        <w:pStyle w:val="2"/>
      </w:pPr>
      <w:r>
        <w:t>UL multiplexing/prioritization</w:t>
      </w:r>
      <w:r w:rsidR="008F605A" w:rsidRPr="008F605A">
        <w:t xml:space="preserve"> for XR-specific </w:t>
      </w:r>
      <w:r>
        <w:t>transmission.</w:t>
      </w:r>
    </w:p>
    <w:p w14:paraId="16097837" w14:textId="6A8B0969" w:rsidR="008F605A" w:rsidRDefault="00A61CB3" w:rsidP="002A768C">
      <w:pPr>
        <w:pStyle w:val="Doc"/>
      </w:pPr>
      <w:r>
        <w:t xml:space="preserve">In Rel-16/17 discussion, UL multiplexing and prioritization based on PHY priority has been specified. Based on PHY priorities, UL transmission can be dropped or prioritized. </w:t>
      </w:r>
      <w:r w:rsidR="00BE4D01">
        <w:t>UL multiplexing and prioritization is existing approach to prepare radio resource for prioritizing service, by dropping allocated resource for low priority transmission. It would be desirable to prioritize XR traffic having stringent requirements like short PDB or higher reliability not only over eMBB but also over other XR traffics.</w:t>
      </w:r>
    </w:p>
    <w:p w14:paraId="57341226" w14:textId="01B38320" w:rsidR="002A768C" w:rsidRDefault="00BE4D01" w:rsidP="002A768C">
      <w:pPr>
        <w:pStyle w:val="Doc"/>
      </w:pPr>
      <w:r>
        <w:t xml:space="preserve">Considering XR services and multiple flows of XR characteristics, priority handling for XR traffic would need to be improved. </w:t>
      </w:r>
      <w:r w:rsidR="00BB0D83">
        <w:t>Until Rel-17, it was assume</w:t>
      </w:r>
      <w:r w:rsidR="00E14A0C">
        <w:t>d</w:t>
      </w:r>
      <w:r w:rsidR="00BB0D83">
        <w:t xml:space="preserve"> that eMBB service uses low priority (LP) and URLLC or important traffics uses high priority (HP). However, a single XR service could have various traffic flows, and all those would need to be treated as higher priority than eMBB, but it may be not necessary to treat as high priority as URLLC. Moreover, it would be meaningful to prioritize one traffic flow among multiple XR traffic flow</w:t>
      </w:r>
      <w:r w:rsidR="00E14A0C">
        <w:t>s</w:t>
      </w:r>
      <w:r w:rsidR="00BB0D83">
        <w:t xml:space="preserve">. Therefore, 2-level of priority may be not sufficient to handle all of those cases. </w:t>
      </w:r>
    </w:p>
    <w:p w14:paraId="70A4118F" w14:textId="5B4233D0" w:rsidR="00BB0D83" w:rsidRPr="00A61CB3" w:rsidRDefault="00BB0D83" w:rsidP="002A768C">
      <w:pPr>
        <w:pStyle w:val="Doc"/>
      </w:pPr>
      <w:r>
        <w:t xml:space="preserve">If dynamic scheduling is used, gNB may be able to choose priority of each transmission carefully for each slot. However, as mentioned above, most of XR service would use SPS/CG for supporting periodic traffic flow, </w:t>
      </w:r>
      <w:r w:rsidR="00BE4D01">
        <w:lastRenderedPageBreak/>
        <w:t>where SPS/CG cannot</w:t>
      </w:r>
      <w:r>
        <w:t xml:space="preserve"> change </w:t>
      </w:r>
      <w:r w:rsidR="00BE4D01">
        <w:t xml:space="preserve">its </w:t>
      </w:r>
      <w:r>
        <w:t xml:space="preserve">priority </w:t>
      </w:r>
      <w:r w:rsidR="00BE4D01">
        <w:t xml:space="preserve">after the configuration. Therefore, XR-specific priority handling would be required so that UE can prioritize XR service over eMBB while prioritizing URLLC over XR. </w:t>
      </w:r>
    </w:p>
    <w:p w14:paraId="135655E0" w14:textId="367D3B3E" w:rsidR="00764294" w:rsidRPr="00764294" w:rsidRDefault="00BE4D01" w:rsidP="00BE4D01">
      <w:pPr>
        <w:pStyle w:val="rProposal"/>
      </w:pPr>
      <w:r>
        <w:rPr>
          <w:rFonts w:hint="eastAsia"/>
        </w:rPr>
        <w:t xml:space="preserve">Proposal </w:t>
      </w:r>
      <w:r w:rsidR="00D91462">
        <w:t>6</w:t>
      </w:r>
      <w:r>
        <w:rPr>
          <w:rFonts w:hint="eastAsia"/>
        </w:rPr>
        <w:t>:</w:t>
      </w:r>
      <w:r>
        <w:t xml:space="preserve"> </w:t>
      </w:r>
      <w:r>
        <w:rPr>
          <w:rFonts w:hint="eastAsia"/>
          <w:lang w:val="en-US"/>
        </w:rPr>
        <w:t>For XR-s</w:t>
      </w:r>
      <w:r>
        <w:rPr>
          <w:lang w:val="en-US"/>
        </w:rPr>
        <w:t>pecific capacity improvement, it can be considered to study</w:t>
      </w:r>
      <w:r w:rsidRPr="00BE4D01">
        <w:t xml:space="preserve"> </w:t>
      </w:r>
      <w:r>
        <w:t xml:space="preserve">XR-specific priority handling. </w:t>
      </w:r>
    </w:p>
    <w:p w14:paraId="57550BF3" w14:textId="3C069636" w:rsidR="00B04CE0" w:rsidRDefault="00B04CE0" w:rsidP="00B04CE0">
      <w:pPr>
        <w:pStyle w:val="TdocHeading1"/>
      </w:pPr>
      <w:r>
        <w:t>Conclusion</w:t>
      </w:r>
    </w:p>
    <w:p w14:paraId="22EAA901" w14:textId="1292CCA8" w:rsidR="00FA08CD" w:rsidRDefault="00FA08CD" w:rsidP="00B04CE0">
      <w:pPr>
        <w:pStyle w:val="Doc"/>
      </w:pPr>
      <w:r w:rsidRPr="00FA08CD">
        <w:rPr>
          <w:rFonts w:hint="eastAsia"/>
        </w:rPr>
        <w:t xml:space="preserve">In this contribution, </w:t>
      </w:r>
      <w:r w:rsidR="00FF4D2E" w:rsidRPr="00FF4D2E">
        <w:t xml:space="preserve">we </w:t>
      </w:r>
      <w:r w:rsidR="00FF4D2E">
        <w:t>shared</w:t>
      </w:r>
      <w:r w:rsidR="00FF4D2E" w:rsidRPr="00FF4D2E">
        <w:t xml:space="preserve"> our views on the potential enhancements of </w:t>
      </w:r>
      <w:r w:rsidR="00B04CE0" w:rsidRPr="00B04CE0">
        <w:t xml:space="preserve">capacity enhancement techniques </w:t>
      </w:r>
      <w:r w:rsidR="00FF4D2E" w:rsidRPr="00FF4D2E">
        <w:t>for XR</w:t>
      </w:r>
      <w:r w:rsidRPr="00FA08CD">
        <w:t>.</w:t>
      </w:r>
      <w:r w:rsidR="006054CD">
        <w:t xml:space="preserve"> Following are proposed for </w:t>
      </w:r>
      <w:r w:rsidR="006054CD" w:rsidRPr="006054CD">
        <w:t>XR-specific capacity improvement</w:t>
      </w:r>
      <w:r w:rsidR="006054CD">
        <w:t>:</w:t>
      </w:r>
    </w:p>
    <w:p w14:paraId="5D0B7B11" w14:textId="77777777" w:rsidR="006054CD" w:rsidRDefault="006054CD" w:rsidP="006054CD">
      <w:pPr>
        <w:pStyle w:val="rProposal"/>
        <w:rPr>
          <w:lang w:val="en-US"/>
        </w:rPr>
      </w:pPr>
      <w:r>
        <w:rPr>
          <w:rFonts w:hint="eastAsia"/>
          <w:lang w:val="en-US"/>
        </w:rPr>
        <w:t xml:space="preserve">Observation: A combination of XR </w:t>
      </w:r>
      <w:r w:rsidRPr="00BE23A4">
        <w:rPr>
          <w:lang w:val="en-US"/>
        </w:rPr>
        <w:t>characteristics</w:t>
      </w:r>
      <w:r>
        <w:rPr>
          <w:lang w:val="en-US"/>
        </w:rPr>
        <w:t xml:space="preserve"> ca</w:t>
      </w:r>
      <w:bookmarkStart w:id="4" w:name="_GoBack"/>
      <w:bookmarkEnd w:id="4"/>
      <w:r>
        <w:rPr>
          <w:lang w:val="en-US"/>
        </w:rPr>
        <w:t>n make capacity issues in various aspect.</w:t>
      </w:r>
    </w:p>
    <w:p w14:paraId="1C7D14CB" w14:textId="77777777" w:rsidR="006054CD" w:rsidRPr="00EF5695" w:rsidRDefault="006054CD" w:rsidP="006054CD">
      <w:pPr>
        <w:pStyle w:val="rProposal"/>
      </w:pPr>
      <w:r>
        <w:t xml:space="preserve">Proposal 1: At least for jitter handling with SPS/CG configuration, it is necessary to allocate multiple TOs in a periodicity with single SPS/CG configurations. </w:t>
      </w:r>
    </w:p>
    <w:p w14:paraId="05936C84" w14:textId="77777777" w:rsidR="006054CD" w:rsidRDefault="006054CD" w:rsidP="006054CD">
      <w:pPr>
        <w:pStyle w:val="rProposal"/>
      </w:pPr>
      <w:r>
        <w:rPr>
          <w:rFonts w:hint="eastAsia"/>
        </w:rPr>
        <w:t xml:space="preserve">Proposal </w:t>
      </w:r>
      <w:r>
        <w:t>2</w:t>
      </w:r>
      <w:r>
        <w:rPr>
          <w:rFonts w:hint="eastAsia"/>
        </w:rPr>
        <w:t xml:space="preserve">: </w:t>
      </w:r>
      <w:r>
        <w:t>I</w:t>
      </w:r>
      <w:r>
        <w:rPr>
          <w:rFonts w:hint="eastAsia"/>
        </w:rPr>
        <w:t xml:space="preserve">t can be considered to activate/release </w:t>
      </w:r>
      <w:r>
        <w:t xml:space="preserve">multiple </w:t>
      </w:r>
      <w:r>
        <w:rPr>
          <w:rFonts w:hint="eastAsia"/>
        </w:rPr>
        <w:t xml:space="preserve">SPS/CG </w:t>
      </w:r>
      <w:r>
        <w:t>and/</w:t>
      </w:r>
      <w:r>
        <w:rPr>
          <w:rFonts w:hint="eastAsia"/>
        </w:rPr>
        <w:t>or other semi-static configuration with le</w:t>
      </w:r>
      <w:r>
        <w:t>ast</w:t>
      </w:r>
      <w:r>
        <w:rPr>
          <w:rFonts w:hint="eastAsia"/>
        </w:rPr>
        <w:t xml:space="preserve"> number of DCI</w:t>
      </w:r>
      <w:r>
        <w:t>s</w:t>
      </w:r>
      <w:r>
        <w:rPr>
          <w:rFonts w:hint="eastAsia"/>
        </w:rPr>
        <w:t xml:space="preserve">. </w:t>
      </w:r>
    </w:p>
    <w:p w14:paraId="03B6C359" w14:textId="77777777" w:rsidR="006054CD" w:rsidRDefault="006054CD" w:rsidP="006054CD">
      <w:pPr>
        <w:pStyle w:val="rProposal"/>
      </w:pPr>
      <w:r>
        <w:rPr>
          <w:rFonts w:hint="eastAsia"/>
        </w:rPr>
        <w:t xml:space="preserve">Proposal 3: </w:t>
      </w:r>
      <w:r>
        <w:t>I</w:t>
      </w:r>
      <w:r>
        <w:rPr>
          <w:rFonts w:hint="eastAsia"/>
        </w:rPr>
        <w:t xml:space="preserve">t can be considered to </w:t>
      </w:r>
      <w:r>
        <w:t xml:space="preserve">define UE behaviour on interaction between SPS/CG configurations, in order to improve overall UE capacity. </w:t>
      </w:r>
    </w:p>
    <w:p w14:paraId="1570D413" w14:textId="77777777" w:rsidR="006054CD" w:rsidRPr="00EF5695" w:rsidRDefault="006054CD" w:rsidP="006054CD">
      <w:pPr>
        <w:pStyle w:val="rProposal"/>
      </w:pPr>
      <w:r>
        <w:t xml:space="preserve">Proposal 4: </w:t>
      </w:r>
      <w:r>
        <w:rPr>
          <w:rFonts w:hint="eastAsia"/>
          <w:lang w:val="en-US"/>
        </w:rPr>
        <w:t>For XR-s</w:t>
      </w:r>
      <w:r>
        <w:rPr>
          <w:lang w:val="en-US"/>
        </w:rPr>
        <w:t>pecific capacity improvement, enhancement on scheduling request can be considered.</w:t>
      </w:r>
    </w:p>
    <w:p w14:paraId="24848CDC" w14:textId="77777777" w:rsidR="006054CD" w:rsidRPr="00EF5695" w:rsidRDefault="006054CD" w:rsidP="006054CD">
      <w:pPr>
        <w:pStyle w:val="rProposal"/>
      </w:pPr>
      <w:r>
        <w:t xml:space="preserve">Proposal 5: At least for jitter handling with dynamic PUSCH scheduling, it is necessary to consider UL grant scheduling overlapped or non-overlapped PUSCH resources. </w:t>
      </w:r>
    </w:p>
    <w:p w14:paraId="0C1C90FE" w14:textId="77777777" w:rsidR="006054CD" w:rsidRPr="00764294" w:rsidRDefault="006054CD" w:rsidP="006054CD">
      <w:pPr>
        <w:pStyle w:val="rProposal"/>
      </w:pPr>
      <w:r>
        <w:rPr>
          <w:rFonts w:hint="eastAsia"/>
        </w:rPr>
        <w:t xml:space="preserve">Proposal </w:t>
      </w:r>
      <w:r>
        <w:t>6</w:t>
      </w:r>
      <w:r>
        <w:rPr>
          <w:rFonts w:hint="eastAsia"/>
        </w:rPr>
        <w:t>:</w:t>
      </w:r>
      <w:r>
        <w:t xml:space="preserve"> </w:t>
      </w:r>
      <w:r>
        <w:rPr>
          <w:rFonts w:hint="eastAsia"/>
          <w:lang w:val="en-US"/>
        </w:rPr>
        <w:t>For XR-s</w:t>
      </w:r>
      <w:r>
        <w:rPr>
          <w:lang w:val="en-US"/>
        </w:rPr>
        <w:t>pecific capacity improvement, it can be considered to study</w:t>
      </w:r>
      <w:r w:rsidRPr="00BE4D01">
        <w:t xml:space="preserve"> </w:t>
      </w:r>
      <w:r>
        <w:t xml:space="preserve">XR-specific priority handling. </w:t>
      </w:r>
    </w:p>
    <w:p w14:paraId="62D66765" w14:textId="77777777" w:rsidR="006054CD" w:rsidRPr="006054CD" w:rsidRDefault="006054CD" w:rsidP="00B04CE0">
      <w:pPr>
        <w:pStyle w:val="Doc"/>
        <w:rPr>
          <w:lang w:val="en-GB"/>
        </w:rPr>
      </w:pPr>
    </w:p>
    <w:p w14:paraId="74B8401E" w14:textId="394A0364" w:rsidR="00B04CE0" w:rsidRDefault="00B04CE0" w:rsidP="00B04CE0">
      <w:pPr>
        <w:pStyle w:val="1"/>
        <w:numPr>
          <w:ilvl w:val="0"/>
          <w:numId w:val="1"/>
        </w:numPr>
        <w:ind w:firstLine="0"/>
        <w:rPr>
          <w:rFonts w:eastAsia="바탕"/>
          <w:b/>
          <w:lang w:eastAsia="ko-KR"/>
        </w:rPr>
      </w:pPr>
      <w:r>
        <w:rPr>
          <w:rFonts w:eastAsia="바탕"/>
          <w:b/>
          <w:lang w:eastAsia="ko-KR"/>
        </w:rPr>
        <w:t>References</w:t>
      </w:r>
    </w:p>
    <w:p w14:paraId="0FB76ACA" w14:textId="5B2DA6D3" w:rsidR="00557DBD" w:rsidRPr="00557DBD" w:rsidRDefault="00557DBD" w:rsidP="00557DBD">
      <w:pPr>
        <w:pStyle w:val="References"/>
        <w:tabs>
          <w:tab w:val="clear" w:pos="6031"/>
        </w:tabs>
        <w:ind w:left="426" w:hanging="426"/>
        <w:jc w:val="left"/>
      </w:pPr>
      <w:bookmarkStart w:id="5" w:name="_Ref68547076"/>
      <w:bookmarkStart w:id="6" w:name="_Ref32914645"/>
      <w:bookmarkStart w:id="7" w:name="_Ref37066925"/>
      <w:bookmarkStart w:id="8" w:name="_Ref40384374"/>
      <w:r w:rsidRPr="00557DBD">
        <w:rPr>
          <w:szCs w:val="22"/>
        </w:rPr>
        <w:t>RP-213587</w:t>
      </w:r>
      <w:r>
        <w:tab/>
      </w:r>
      <w:r w:rsidRPr="00557DBD">
        <w:t>New SID “Study on XR Enhancements for NR”</w:t>
      </w:r>
      <w:r w:rsidRPr="0005195C">
        <w:t>,</w:t>
      </w:r>
      <w:r>
        <w:tab/>
      </w:r>
      <w:r w:rsidRPr="00DE502F">
        <w:rPr>
          <w:rFonts w:ascii="Times" w:eastAsia="바탕" w:hAnsi="Times" w:cs="Times"/>
          <w:lang w:eastAsia="zh-CN"/>
        </w:rPr>
        <w:t>Nokia (Rapporteur)</w:t>
      </w:r>
    </w:p>
    <w:p w14:paraId="729554FF" w14:textId="37C4A9B9" w:rsidR="009A44E2" w:rsidRPr="00E779B8" w:rsidRDefault="00DE502F" w:rsidP="00DE502F">
      <w:pPr>
        <w:pStyle w:val="References"/>
        <w:tabs>
          <w:tab w:val="clear" w:pos="6031"/>
        </w:tabs>
        <w:ind w:left="426" w:hanging="426"/>
        <w:jc w:val="left"/>
      </w:pPr>
      <w:bookmarkStart w:id="9" w:name="_Ref102119747"/>
      <w:r w:rsidRPr="00DE502F">
        <w:rPr>
          <w:szCs w:val="22"/>
        </w:rPr>
        <w:t>RP-220285</w:t>
      </w:r>
      <w:r w:rsidR="00410A8F">
        <w:tab/>
      </w:r>
      <w:r w:rsidRPr="00DE502F">
        <w:t>Revised SID : Study on XR Enhancements for NR</w:t>
      </w:r>
      <w:r w:rsidR="00410A8F" w:rsidRPr="0005195C">
        <w:t>,</w:t>
      </w:r>
      <w:bookmarkStart w:id="10" w:name="_Ref68547211"/>
      <w:bookmarkEnd w:id="5"/>
      <w:r w:rsidR="00557DBD">
        <w:tab/>
      </w:r>
      <w:r w:rsidRPr="00DE502F">
        <w:rPr>
          <w:rFonts w:ascii="Times" w:eastAsia="바탕" w:hAnsi="Times" w:cs="Times"/>
          <w:lang w:eastAsia="zh-CN"/>
        </w:rPr>
        <w:t>Nokia (Rapporteur)</w:t>
      </w:r>
      <w:bookmarkEnd w:id="6"/>
      <w:bookmarkEnd w:id="7"/>
      <w:bookmarkEnd w:id="8"/>
      <w:bookmarkEnd w:id="9"/>
      <w:bookmarkEnd w:id="10"/>
    </w:p>
    <w:sectPr w:rsidR="009A44E2" w:rsidRPr="00E779B8"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6329A" w14:textId="77777777" w:rsidR="002A553F" w:rsidRDefault="002A553F" w:rsidP="00CB15B0">
      <w:pPr>
        <w:spacing w:before="0" w:after="0" w:line="240" w:lineRule="auto"/>
      </w:pPr>
      <w:r>
        <w:separator/>
      </w:r>
    </w:p>
  </w:endnote>
  <w:endnote w:type="continuationSeparator" w:id="0">
    <w:p w14:paraId="02871BE1" w14:textId="77777777" w:rsidR="002A553F" w:rsidRDefault="002A553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4A14F" w14:textId="77777777" w:rsidR="002A553F" w:rsidRDefault="002A553F" w:rsidP="00CB15B0">
      <w:pPr>
        <w:spacing w:before="0" w:after="0" w:line="240" w:lineRule="auto"/>
      </w:pPr>
      <w:r>
        <w:separator/>
      </w:r>
    </w:p>
  </w:footnote>
  <w:footnote w:type="continuationSeparator" w:id="0">
    <w:p w14:paraId="7BE769D1" w14:textId="77777777" w:rsidR="002A553F" w:rsidRDefault="002A553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3">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7">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8">
    <w:nsid w:val="40DE34BC"/>
    <w:multiLevelType w:val="singleLevel"/>
    <w:tmpl w:val="40DE34BC"/>
    <w:lvl w:ilvl="0">
      <w:start w:val="1"/>
      <w:numFmt w:val="decimal"/>
      <w:lvlText w:val="%1."/>
      <w:lvlJc w:val="left"/>
      <w:pPr>
        <w:tabs>
          <w:tab w:val="left" w:pos="360"/>
        </w:tabs>
        <w:ind w:left="360" w:hanging="360"/>
      </w:pPr>
    </w:lvl>
  </w:abstractNum>
  <w:abstractNum w:abstractNumId="9">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2">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3157D4"/>
    <w:multiLevelType w:val="multilevel"/>
    <w:tmpl w:val="9F86694C"/>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5">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0"/>
  </w:num>
  <w:num w:numId="3">
    <w:abstractNumId w:val="5"/>
  </w:num>
  <w:num w:numId="4">
    <w:abstractNumId w:val="12"/>
  </w:num>
  <w:num w:numId="5">
    <w:abstractNumId w:val="13"/>
  </w:num>
  <w:num w:numId="6">
    <w:abstractNumId w:val="15"/>
  </w:num>
  <w:num w:numId="7">
    <w:abstractNumId w:val="3"/>
  </w:num>
  <w:num w:numId="8">
    <w:abstractNumId w:val="8"/>
  </w:num>
  <w:num w:numId="9">
    <w:abstractNumId w:val="4"/>
  </w:num>
  <w:num w:numId="10">
    <w:abstractNumId w:val="6"/>
  </w:num>
  <w:num w:numId="11">
    <w:abstractNumId w:val="7"/>
  </w:num>
  <w:num w:numId="12">
    <w:abstractNumId w:val="9"/>
  </w:num>
  <w:num w:numId="13">
    <w:abstractNumId w:val="10"/>
  </w:num>
  <w:num w:numId="14">
    <w:abstractNumId w:val="11"/>
  </w:num>
  <w:num w:numId="15">
    <w:abstractNumId w:val="2"/>
  </w:num>
  <w:num w:numId="16">
    <w:abstractNumId w:val="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03F"/>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28E"/>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2F71"/>
    <w:rsid w:val="008F357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195"/>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9E19D6"/>
    <w:pPr>
      <w:keepNext/>
      <w:numPr>
        <w:ilvl w:val="1"/>
        <w:numId w:val="1"/>
      </w:numPr>
      <w:ind w:firstLine="0"/>
      <w:outlineLvl w:val="1"/>
    </w:pPr>
    <w:rPr>
      <w:rFonts w:ascii="Arial" w:eastAsia="맑은 고딕" w:hAnsi="Arial"/>
      <w:b/>
      <w:kern w:val="2"/>
      <w:sz w:val="24"/>
      <w:szCs w:val="22"/>
      <w:lang w:val="en-US"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3"/>
    <w:next w:val="a7"/>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9E19D6"/>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B04CE0"/>
    <w:pPr>
      <w:spacing w:before="120" w:line="240" w:lineRule="auto"/>
      <w:ind w:left="0" w:firstLineChars="193" w:firstLine="425"/>
    </w:pPr>
    <w:rPr>
      <w:rFonts w:eastAsia="맑은 고딕"/>
      <w:kern w:val="2"/>
      <w:sz w:val="22"/>
      <w:szCs w:val="22"/>
      <w:lang w:val="en-US" w:eastAsia="ko-KR"/>
    </w:rPr>
  </w:style>
  <w:style w:type="character" w:customStyle="1" w:styleId="DocChar">
    <w:name w:val="Doc Char"/>
    <w:basedOn w:val="a2"/>
    <w:link w:val="Doc"/>
    <w:rsid w:val="00B04CE0"/>
    <w:rPr>
      <w:rFonts w:eastAsia="맑은 고딕"/>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343DB-2EAA-42E0-9D1A-3B365699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1764</Words>
  <Characters>10056</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배덕현/선임연구원/ICT기술센터 C&amp;M표준(연)5G무선접속표준Task(duckhyun.bae@lge.com)</cp:lastModifiedBy>
  <cp:revision>4</cp:revision>
  <cp:lastPrinted>2018-11-01T13:47:00Z</cp:lastPrinted>
  <dcterms:created xsi:type="dcterms:W3CDTF">2022-04-29T16:15:00Z</dcterms:created>
  <dcterms:modified xsi:type="dcterms:W3CDTF">2022-04-29T16:28:00Z</dcterms:modified>
</cp:coreProperties>
</file>